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FD" w:rsidRPr="00193D3D" w:rsidRDefault="00EB3AFD" w:rsidP="00EB3AFD">
      <w:pPr>
        <w:shd w:val="clear" w:color="auto" w:fill="FFFFFF"/>
        <w:spacing w:before="150" w:after="150" w:line="300" w:lineRule="atLeast"/>
        <w:outlineLvl w:val="4"/>
        <w:rPr>
          <w:rFonts w:eastAsia="Times New Roman" w:cs="Times New Roman"/>
          <w:b/>
          <w:bCs/>
          <w:color w:val="000000"/>
          <w:szCs w:val="28"/>
        </w:rPr>
      </w:pPr>
      <w:bookmarkStart w:id="0" w:name="_GoBack"/>
      <w:r w:rsidRPr="00193D3D">
        <w:rPr>
          <w:rFonts w:eastAsia="Times New Roman" w:cs="Times New Roman"/>
          <w:b/>
          <w:bCs/>
          <w:color w:val="000000"/>
          <w:szCs w:val="28"/>
        </w:rPr>
        <w:t>Giải quyết tố cáo không thuộc lĩnh vực tố tụng hình sự của công dân đối với lực lượng Công an nhân dân (thực hiện tại cấp huyện)</w:t>
      </w:r>
    </w:p>
    <w:bookmarkEnd w:id="0"/>
    <w:p w:rsidR="00A82FAA" w:rsidRPr="00193D3D" w:rsidRDefault="00A82FAA">
      <w:pPr>
        <w:rPr>
          <w:rFonts w:cs="Times New Roman"/>
          <w:szCs w:val="28"/>
        </w:rPr>
      </w:pPr>
    </w:p>
    <w:tbl>
      <w:tblPr>
        <w:tblpPr w:leftFromText="180" w:rightFromText="180" w:vertAnchor="text"/>
        <w:tblW w:w="9319" w:type="dxa"/>
        <w:shd w:val="clear" w:color="auto" w:fill="FFFFFF"/>
        <w:tblCellMar>
          <w:left w:w="0" w:type="dxa"/>
          <w:right w:w="0" w:type="dxa"/>
        </w:tblCellMar>
        <w:tblLook w:val="04A0" w:firstRow="1" w:lastRow="0" w:firstColumn="1" w:lastColumn="0" w:noHBand="0" w:noVBand="1"/>
      </w:tblPr>
      <w:tblGrid>
        <w:gridCol w:w="2799"/>
        <w:gridCol w:w="6520"/>
      </w:tblGrid>
      <w:tr w:rsidR="00EB3AFD" w:rsidRPr="00193D3D" w:rsidTr="00193D3D">
        <w:tc>
          <w:tcPr>
            <w:tcW w:w="2799" w:type="dxa"/>
            <w:tcBorders>
              <w:top w:val="single" w:sz="8" w:space="0" w:color="DDDDDD"/>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Cơ quan Công bố/Công khai</w:t>
            </w:r>
          </w:p>
        </w:tc>
        <w:tc>
          <w:tcPr>
            <w:tcW w:w="6520" w:type="dxa"/>
            <w:tcBorders>
              <w:top w:val="single" w:sz="8" w:space="0" w:color="DDDDDD"/>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Công an tỉnh Sóc Trăng</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Mã thủ tục</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B-BCA-153506-TT</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Cấp thực hiện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Cấp Huyện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Lĩnh vực</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Khiếu nại tố cáo</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EB3AFD" w:rsidRPr="00193D3D" w:rsidRDefault="00EB3AFD" w:rsidP="00EB3AFD">
            <w:pPr>
              <w:spacing w:after="0" w:line="240" w:lineRule="auto"/>
              <w:rPr>
                <w:rFonts w:eastAsia="Times New Roman" w:cs="Times New Roman"/>
                <w:color w:val="CC0000"/>
                <w:szCs w:val="28"/>
              </w:rPr>
            </w:pPr>
            <w:r w:rsidRPr="00193D3D">
              <w:rPr>
                <w:rFonts w:eastAsia="Times New Roman" w:cs="Times New Roman"/>
                <w:b/>
                <w:bCs/>
                <w:color w:val="333333"/>
                <w:szCs w:val="28"/>
              </w:rPr>
              <w:t>Trình tự thực hiện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CC0000"/>
                <w:szCs w:val="28"/>
              </w:rPr>
              <w:t> </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b/>
                <w:bCs/>
                <w:color w:val="333333"/>
                <w:szCs w:val="28"/>
              </w:rPr>
              <w:t>Bước 1:</w:t>
            </w:r>
            <w:r w:rsidRPr="00193D3D">
              <w:rPr>
                <w:rFonts w:eastAsia="Times New Roman" w:cs="Times New Roman"/>
                <w:color w:val="333333"/>
                <w:szCs w:val="28"/>
              </w:rPr>
              <w:t> Tiếp nhận, xử lý thông tin tố cáo: khi nhận được tố cáo thì người giải quyết tố cáo có trách nhiệm phân loại và xử lý như sau:</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a) Nếu tố cáo thuộc thẩm quyền giải quyết của Trưởng Công an quận, huyện, thị xã, thành phố thuộc tỉnh (sau đây gọi chung là Trưởng Công an cấp huyện)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b) Nếu tố cáo không thuộc thẩm quyền giải quyết của mình, nhưng thuộc trách nhiệm giải quyết của Công an nhân dân, thì trong thời hạn 05 ngày làm việc kể từ ngày nhận được, cơ quan, đơn vị tiếp nhận tố cáo phải chuyển đến Thủ trưởng cơ quan Công an có thẩm quyền giải quyết theo quy định tại Điều 5 Nghị định số 91/2013/NĐ-CP ngày 12/8/2013 của Chính phủ quy định về tố cáo và giải quyết tố cáo trong Công an nhân dân để xem xét, giải quyết; đồng thời thông báo bằng văn bản cho người tố cáo (nếu họ không yêu cầu giữ bí mật) và cơ quan Thanh tra Công an cùng cấp với cơ quan có thẩm quyền giải quyết tố cáo biết.</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 xml:space="preserve">c) Nếu tố cáo không thuộc thẩm quyền giải quyết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w:t>
            </w:r>
            <w:r w:rsidRPr="00193D3D">
              <w:rPr>
                <w:rFonts w:eastAsia="Times New Roman" w:cs="Times New Roman"/>
                <w:color w:val="333333"/>
                <w:szCs w:val="28"/>
              </w:rPr>
              <w:lastRenderedPageBreak/>
              <w:t>hợp người tố cáo đến tố cáo trực tiếp thì người tiếp nhận tố cáo hướng dẫn người tố cáo đến tố cáo với cơ quan, tổ chức, cá nhân có thẩm quyền giải quyết.</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b/>
                <w:bCs/>
                <w:color w:val="333333"/>
                <w:szCs w:val="28"/>
              </w:rPr>
              <w:t>Bước 2:</w:t>
            </w:r>
            <w:r w:rsidRPr="00193D3D">
              <w:rPr>
                <w:rFonts w:eastAsia="Times New Roman" w:cs="Times New Roman"/>
                <w:color w:val="333333"/>
                <w:szCs w:val="28"/>
              </w:rPr>
              <w:t> Thụ lý, xác minh nội dung tố cáo: Trưởng Công an cấp huyện ban hành quyết định thụ lý giải quyết tố cáo (sau đây gọi tắt là quyết định thụ lý). Việc thay đổi, bổ sung nội dung quyết định thụ lý phải thực hiện bằng quyết định của người giải quyết tố cáo. Trong trường hợp người giải quyết tố cáo tiến hành xác minh thì trong quyết định thụ lý phải thành lập Đoàn xác minh tố cáo hoặc Tổ xác minh tố cáo (sau đây gọi chung là Tổ xác minh) có từ hai người trở lên, trong đó giao cho một người làm Trưởng đoàn xác minh hoặc Tổ trưởng Tổ xác minh (sau đây gọi chung là Tổ trưởng Tổ xác minh). Trong quá trình xác minh, Tổ xác minh phải làm việc với người bị tố cáo, người tố cáo;  thu thập các tài liệu liên quan đến nội dung tố cáo; báo cáo kết quả xác minh… theo quy định tại Thông tư số 12/2015/TT-BCA, ngày 02/3/2015 của Bộ Công an Quy định quy trình giải quyết tố cáo trong Công an nhân dân.</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b/>
                <w:bCs/>
                <w:color w:val="333333"/>
                <w:szCs w:val="28"/>
              </w:rPr>
              <w:t>Bước 3:</w:t>
            </w:r>
            <w:r w:rsidRPr="00193D3D">
              <w:rPr>
                <w:rFonts w:eastAsia="Times New Roman" w:cs="Times New Roman"/>
                <w:color w:val="333333"/>
                <w:szCs w:val="28"/>
              </w:rPr>
              <w:t> Báo cáo kết quả xác minh và kết luận nội dung tố cáo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a) Dự thảo Báo cáo kết quả xác minh, tổ chức thông báo dự thảo Báo cáo kết quả xác minh;</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b) Hoàn chỉnh Báo cáo kết quả xác minh;</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Các bước tiến hành trên được thực hiện theo quy định tại Thông tư số 12/2015/TT-BCA, ngày 02/3/2015 của Bộ Công an Quy định quy trình giải quyết tố cáo trong Công an nhân dân.</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c) Kết luận nội dung tố cáo: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Căn cứ Báo cáo kết quả xác minh nội dung tố cáo, các thông tin, tài liệu, chứng cứ có liên quan, đối chiếu với các quy định của pháp luật, Trưởng Công an cấp huyện ban hành Kết luận nội dung tố cáo.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b/>
                <w:bCs/>
                <w:color w:val="333333"/>
                <w:szCs w:val="28"/>
              </w:rPr>
              <w:t>Bước 4:</w:t>
            </w:r>
            <w:r w:rsidRPr="00193D3D">
              <w:rPr>
                <w:rFonts w:eastAsia="Times New Roman" w:cs="Times New Roman"/>
                <w:color w:val="333333"/>
                <w:szCs w:val="28"/>
              </w:rPr>
              <w:t> xử lý tố cáo của người giải quyết tố cáo: ngay sau khi có Kết luận về nội dung tố cáo, Thủ trưởng cơ quan có thẩm quyền căn cứ kết quả xác minh, kết luận nội dung tố cáo để xử lý theo quy định Thông tư số 12/2015/TT-BCA, ngày 02/3/2015 của Bộ Công an Quy định quy trình giải quyết tố cáo trong Công an nhân dân. </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b/>
                <w:bCs/>
                <w:color w:val="333333"/>
                <w:szCs w:val="28"/>
              </w:rPr>
              <w:t>Bước 5:</w:t>
            </w:r>
            <w:r w:rsidRPr="00193D3D">
              <w:rPr>
                <w:rFonts w:eastAsia="Times New Roman" w:cs="Times New Roman"/>
                <w:color w:val="333333"/>
                <w:szCs w:val="28"/>
              </w:rPr>
              <w:t> công khai kết luận nội dung tố cáo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 xml:space="preserve">Trong thời hạn 10 ngày, kể từ ngày ký Kết luận nội dung tố cáo, quyết định xử lý hành vi vi phạm pháp luật </w:t>
            </w:r>
            <w:r w:rsidRPr="00193D3D">
              <w:rPr>
                <w:rFonts w:eastAsia="Times New Roman" w:cs="Times New Roman"/>
                <w:color w:val="333333"/>
                <w:szCs w:val="28"/>
              </w:rPr>
              <w:lastRenderedPageBreak/>
              <w:t>bị tố cáo, người giải quyết tố cáo có trách nhiệm công khai Kết luận nội dung tố cáo, Quyết định xử lý hành vi vi phạm bị tố cáo theo quy định tại Điều 12 Nghị định số 91/2013/NĐ-CP ngày 12/8/2013 của Chính phủ quy định về tố cáo và giải quyết tố cáo trong Công an nhân dân.</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Trong trường hợp người tố cáo có yêu cầu thì người giải quyết tố cáo thông báo kết quả giải quyết tố cáo cho người tố cáo, trừ những thông tin thuộc bí mật Nhà nước. Việc thông báo kết quả giải quyết tố cáo được thực hiện bằng một trong hai hình thức sau:</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(1) Gửi kết luận nội dung tố cáo, quyết định, văn bản xử lý tố cáo cho người tố cáo nếu kết luận, quyết định, văn bản đó không có nội dung, thông tin thuộc bí mật nhà nước, bí mật của ngành Công an;</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(2) Gửi văn bản thông báo tóm tắt kết quả giải quyết tố cáo theo nội dung tố cáo cho người tố cáo biết, không đưa những nội dung, thông tin, tài liệu thuộc bí mật nhà nước, bí mật của ngành Công an vào văn bản thông báo.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b/>
                <w:bCs/>
                <w:color w:val="333333"/>
                <w:szCs w:val="28"/>
              </w:rPr>
              <w:t>Bước 6:</w:t>
            </w:r>
            <w:r w:rsidRPr="00193D3D">
              <w:rPr>
                <w:rFonts w:eastAsia="Times New Roman" w:cs="Times New Roman"/>
                <w:color w:val="333333"/>
                <w:szCs w:val="28"/>
              </w:rPr>
              <w:t> Kết thúc việc giải quyết tố cáo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Tổ trưởng Tổ xác minh làm thủ tục kết thúc hồ sơ, trình người giải quyết tố cáo hoặc Thủ trưởng cơ quan chức năng ký quyết định kết thúc hồ sơ để nộp lưu theo quy định.</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lastRenderedPageBreak/>
              <w:t>Cách thức thực hiện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Tố cáo trực tiếp hoặc gửi đơn tố cáo qua đường bưu điện.   </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EB3AFD" w:rsidRPr="00193D3D" w:rsidRDefault="00EB3AFD" w:rsidP="00EB3AFD">
            <w:pPr>
              <w:spacing w:after="0" w:line="240" w:lineRule="auto"/>
              <w:rPr>
                <w:rFonts w:eastAsia="Times New Roman" w:cs="Times New Roman"/>
                <w:color w:val="CC0000"/>
                <w:szCs w:val="28"/>
              </w:rPr>
            </w:pPr>
            <w:r w:rsidRPr="00193D3D">
              <w:rPr>
                <w:rFonts w:eastAsia="Times New Roman" w:cs="Times New Roman"/>
                <w:b/>
                <w:bCs/>
                <w:color w:val="333333"/>
                <w:szCs w:val="28"/>
              </w:rPr>
              <w:t>Thành phần hồ sơ</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a)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b) Nhóm 2 gồm các văn bản, tài liệu sau: Các biên bản làm việc; văn bản, tài liệu, chứng cứ thu thập được; văn bản giải trình của người bị tố cáo; các tài liệu khác có liên quan đến nội dung tố cáo.</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Số bộ hồ sơ</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01 (một) bộ.</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Mẫu đơn, mẫu tờ khai</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rPr>
                <w:rFonts w:eastAsia="Times New Roman" w:cs="Times New Roman"/>
                <w:color w:val="CC0000"/>
                <w:szCs w:val="28"/>
              </w:rPr>
            </w:pPr>
            <w:r w:rsidRPr="00193D3D">
              <w:rPr>
                <w:rFonts w:eastAsia="Times New Roman" w:cs="Times New Roman"/>
                <w:color w:val="CC0000"/>
                <w:szCs w:val="28"/>
              </w:rPr>
              <w:t> </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Phí</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Không có thông tin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lastRenderedPageBreak/>
              <w:t>Lệ phí</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Không có thông tin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Mức giá</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Không có thông tin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EB3AFD" w:rsidRPr="00193D3D" w:rsidRDefault="00EB3AFD" w:rsidP="00EB3AFD">
            <w:pPr>
              <w:spacing w:after="0" w:line="240" w:lineRule="auto"/>
              <w:rPr>
                <w:rFonts w:eastAsia="Times New Roman" w:cs="Times New Roman"/>
                <w:color w:val="CC0000"/>
                <w:szCs w:val="28"/>
              </w:rPr>
            </w:pPr>
            <w:r w:rsidRPr="00193D3D">
              <w:rPr>
                <w:rFonts w:eastAsia="Times New Roman" w:cs="Times New Roman"/>
                <w:b/>
                <w:bCs/>
                <w:color w:val="333333"/>
                <w:szCs w:val="28"/>
              </w:rPr>
              <w:t>Thời hạn giải quyết</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Theo quy định tại Điều 21 Luật tố cáo: thời hạn giải quyết tố cáo là 60 ngày, kể từ ngày thụ lý giải quyết tố cáo; đối với vụ việc phức tạp thì thời hạn giải quyết là 90 ngày, kể từ ngày thụ lý giải quyết tố cáo. Trường hợp cần thiết, người có thẩm quyền giải quyết tố cáo có thể gia hạn giải quyết một lần nhưng không quá 30 ngày; đối với vụ việc phức tạp thì không quá 60 ngày. </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Đối tượng thực hiện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 Cá nhân - Tổ chức</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Cơ quan thực hiện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Công an cấp huyện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Cơ quan có thẩm quyền quyết định</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Công an cấp huyện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Địa chỉ tiếp nhận hồ sơ</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Công an cấp huyện </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Cơ quan được ủy quyền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Không có thông tin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Cơ quan phối hợp</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Không có thông tin</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t>Kết quả thực hiện</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Kết luận nội dung tố cáo và quyết định xử lý hành vi vi phạm bị tố cáo.</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EB3AFD" w:rsidRPr="00193D3D" w:rsidRDefault="00EB3AFD" w:rsidP="00EB3AFD">
            <w:pPr>
              <w:spacing w:after="0" w:line="240" w:lineRule="auto"/>
              <w:rPr>
                <w:rFonts w:eastAsia="Times New Roman" w:cs="Times New Roman"/>
                <w:color w:val="CC0000"/>
                <w:szCs w:val="28"/>
              </w:rPr>
            </w:pPr>
            <w:r w:rsidRPr="00193D3D">
              <w:rPr>
                <w:rFonts w:eastAsia="Times New Roman" w:cs="Times New Roman"/>
                <w:b/>
                <w:bCs/>
                <w:color w:val="333333"/>
                <w:szCs w:val="28"/>
              </w:rPr>
              <w:t>Căn cứ pháp lý của TTHC</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193D3D" w:rsidP="00EB3AFD">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6" w:tgtFrame="_blank" w:tooltip="Luật 03/2011/QH13" w:history="1">
              <w:r w:rsidR="00EB3AFD" w:rsidRPr="00193D3D">
                <w:rPr>
                  <w:rFonts w:eastAsia="Times New Roman" w:cs="Times New Roman"/>
                  <w:color w:val="19467F"/>
                  <w:szCs w:val="28"/>
                  <w:bdr w:val="none" w:sz="0" w:space="0" w:color="auto" w:frame="1"/>
                </w:rPr>
                <w:t>Luật 03/2011/QH13</w:t>
              </w:r>
            </w:hyperlink>
          </w:p>
          <w:p w:rsidR="00EB3AFD" w:rsidRPr="00193D3D" w:rsidRDefault="00193D3D" w:rsidP="00EB3AFD">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7" w:tgtFrame="_blank" w:tooltip="Nghị định 76/2012/NĐ-CP" w:history="1">
              <w:r w:rsidR="00EB3AFD" w:rsidRPr="00193D3D">
                <w:rPr>
                  <w:rFonts w:eastAsia="Times New Roman" w:cs="Times New Roman"/>
                  <w:color w:val="19467F"/>
                  <w:szCs w:val="28"/>
                  <w:bdr w:val="none" w:sz="0" w:space="0" w:color="auto" w:frame="1"/>
                </w:rPr>
                <w:t>Nghị định 76/2012/NĐ-CP</w:t>
              </w:r>
            </w:hyperlink>
          </w:p>
          <w:p w:rsidR="00EB3AFD" w:rsidRPr="00193D3D" w:rsidRDefault="00193D3D" w:rsidP="00EB3AFD">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8" w:tgtFrame="_blank" w:tooltip="Nghị định 91/2013/NĐ-CP" w:history="1">
              <w:r w:rsidR="00EB3AFD" w:rsidRPr="00193D3D">
                <w:rPr>
                  <w:rFonts w:eastAsia="Times New Roman" w:cs="Times New Roman"/>
                  <w:color w:val="19467F"/>
                  <w:szCs w:val="28"/>
                  <w:bdr w:val="none" w:sz="0" w:space="0" w:color="auto" w:frame="1"/>
                </w:rPr>
                <w:t>Nghị định 91/2013/NĐ-CP</w:t>
              </w:r>
            </w:hyperlink>
          </w:p>
          <w:p w:rsidR="00EB3AFD" w:rsidRPr="00193D3D" w:rsidRDefault="00193D3D" w:rsidP="00EB3AFD">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9" w:tgtFrame="_blank" w:tooltip="Thông tư 10/2014/TT-BCA" w:history="1">
              <w:r w:rsidR="00EB3AFD" w:rsidRPr="00193D3D">
                <w:rPr>
                  <w:rFonts w:eastAsia="Times New Roman" w:cs="Times New Roman"/>
                  <w:color w:val="19467F"/>
                  <w:szCs w:val="28"/>
                  <w:bdr w:val="none" w:sz="0" w:space="0" w:color="auto" w:frame="1"/>
                </w:rPr>
                <w:t>Thông tư 85/2020/TT-BCA</w:t>
              </w:r>
            </w:hyperlink>
          </w:p>
          <w:p w:rsidR="00EB3AFD" w:rsidRPr="00193D3D" w:rsidRDefault="00193D3D" w:rsidP="00EB3AFD">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10" w:tgtFrame="_blank" w:tooltip="Thông tư 12/2015/TT-BCA" w:history="1">
              <w:r w:rsidR="00EB3AFD" w:rsidRPr="00193D3D">
                <w:rPr>
                  <w:rFonts w:eastAsia="Times New Roman" w:cs="Times New Roman"/>
                  <w:color w:val="19467F"/>
                  <w:szCs w:val="28"/>
                  <w:bdr w:val="none" w:sz="0" w:space="0" w:color="auto" w:frame="1"/>
                </w:rPr>
                <w:t>Thông tư 12/2015/TT-BCA</w:t>
              </w:r>
            </w:hyperlink>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EB3AFD" w:rsidRPr="00193D3D" w:rsidRDefault="00EB3AFD" w:rsidP="00EB3AFD">
            <w:pPr>
              <w:spacing w:after="0" w:line="240" w:lineRule="auto"/>
              <w:rPr>
                <w:rFonts w:eastAsia="Times New Roman" w:cs="Times New Roman"/>
                <w:color w:val="CC0000"/>
                <w:szCs w:val="28"/>
              </w:rPr>
            </w:pPr>
            <w:r w:rsidRPr="00193D3D">
              <w:rPr>
                <w:rFonts w:eastAsia="Times New Roman" w:cs="Times New Roman"/>
                <w:b/>
                <w:bCs/>
                <w:color w:val="333333"/>
                <w:szCs w:val="28"/>
              </w:rPr>
              <w:t>Yêu cầu hoặc điều kiện để thực hiện TTHC</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Theo quy định tại Khoản 2 Điều 20 Luật Tố cáo: Người có thẩm quyền không thụ lý giải quyết tố cáo trong các trường hợp sau đây:</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a) Tố cáo về vụ việc đã được người đó giải quyết mà người tố cáo không cung cấp thông tin, tình tiết mới;</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b) Tố cáo về vụ việc mà nội dung và những thông tin người tố cáo cung cấp không có cơ sở để xác định người vi phạm, hành vi vi phạm pháp luật;</w:t>
            </w:r>
          </w:p>
          <w:p w:rsidR="00EB3AFD" w:rsidRPr="00193D3D" w:rsidRDefault="00EB3AFD" w:rsidP="00EB3AFD">
            <w:pPr>
              <w:spacing w:after="0" w:line="240" w:lineRule="auto"/>
              <w:jc w:val="both"/>
              <w:textAlignment w:val="baseline"/>
              <w:rPr>
                <w:rFonts w:eastAsia="Times New Roman" w:cs="Times New Roman"/>
                <w:color w:val="CC0000"/>
                <w:szCs w:val="28"/>
              </w:rPr>
            </w:pPr>
            <w:r w:rsidRPr="00193D3D">
              <w:rPr>
                <w:rFonts w:eastAsia="Times New Roman" w:cs="Times New Roman"/>
                <w:color w:val="333333"/>
                <w:szCs w:val="28"/>
              </w:rPr>
              <w:t>c) Tố cáo về vụ việc mà người có thẩm quyền giải quyết tố cáo không đủ điều kiện để kiểm tra, xác minh hành vi vi phạm pháp luật, người vi phạm.</w:t>
            </w:r>
          </w:p>
        </w:tc>
      </w:tr>
      <w:tr w:rsidR="00EB3AFD" w:rsidRPr="00193D3D" w:rsidTr="00193D3D">
        <w:tc>
          <w:tcPr>
            <w:tcW w:w="2799"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b/>
                <w:bCs/>
                <w:color w:val="333333"/>
                <w:szCs w:val="28"/>
              </w:rPr>
              <w:lastRenderedPageBreak/>
              <w:t>Đánh giá tác động TTHC</w:t>
            </w:r>
          </w:p>
        </w:tc>
        <w:tc>
          <w:tcPr>
            <w:tcW w:w="6520"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EB3AFD" w:rsidRPr="00193D3D" w:rsidRDefault="00EB3AFD" w:rsidP="00EB3AFD">
            <w:pPr>
              <w:spacing w:after="0" w:line="240" w:lineRule="auto"/>
              <w:jc w:val="both"/>
              <w:rPr>
                <w:rFonts w:eastAsia="Times New Roman" w:cs="Times New Roman"/>
                <w:color w:val="CC0000"/>
                <w:szCs w:val="28"/>
              </w:rPr>
            </w:pPr>
            <w:r w:rsidRPr="00193D3D">
              <w:rPr>
                <w:rFonts w:eastAsia="Times New Roman" w:cs="Times New Roman"/>
                <w:color w:val="333333"/>
                <w:szCs w:val="28"/>
              </w:rPr>
              <w:t>Không có thông tin</w:t>
            </w:r>
          </w:p>
        </w:tc>
      </w:tr>
    </w:tbl>
    <w:p w:rsidR="00EB3AFD" w:rsidRPr="00193D3D" w:rsidRDefault="00EB3AFD">
      <w:pPr>
        <w:rPr>
          <w:rFonts w:cs="Times New Roman"/>
          <w:szCs w:val="28"/>
        </w:rPr>
      </w:pPr>
    </w:p>
    <w:sectPr w:rsidR="00EB3AFD" w:rsidRPr="00193D3D" w:rsidSect="00630348">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315DB"/>
    <w:multiLevelType w:val="multilevel"/>
    <w:tmpl w:val="3F2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FD"/>
    <w:rsid w:val="00193D3D"/>
    <w:rsid w:val="00630348"/>
    <w:rsid w:val="00A82FAA"/>
    <w:rsid w:val="00EB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3AFD"/>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3AFD"/>
    <w:rPr>
      <w:rFonts w:eastAsia="Times New Roman" w:cs="Times New Roman"/>
      <w:b/>
      <w:bCs/>
      <w:sz w:val="20"/>
      <w:szCs w:val="20"/>
    </w:rPr>
  </w:style>
  <w:style w:type="character" w:customStyle="1" w:styleId="header-back-to">
    <w:name w:val="header-back-to"/>
    <w:basedOn w:val="DefaultParagraphFont"/>
    <w:rsid w:val="00EB3AFD"/>
  </w:style>
  <w:style w:type="character" w:customStyle="1" w:styleId="helper-hidden-accessible">
    <w:name w:val="helper-hidden-accessible"/>
    <w:basedOn w:val="DefaultParagraphFont"/>
    <w:rsid w:val="00EB3AFD"/>
  </w:style>
  <w:style w:type="paragraph" w:styleId="NormalWeb">
    <w:name w:val="Normal (Web)"/>
    <w:basedOn w:val="Normal"/>
    <w:uiPriority w:val="99"/>
    <w:unhideWhenUsed/>
    <w:rsid w:val="00EB3AF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B3AFD"/>
    <w:rPr>
      <w:b/>
      <w:bCs/>
    </w:rPr>
  </w:style>
  <w:style w:type="character" w:styleId="Hyperlink">
    <w:name w:val="Hyperlink"/>
    <w:basedOn w:val="DefaultParagraphFont"/>
    <w:uiPriority w:val="99"/>
    <w:semiHidden/>
    <w:unhideWhenUsed/>
    <w:rsid w:val="00EB3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3AFD"/>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3AFD"/>
    <w:rPr>
      <w:rFonts w:eastAsia="Times New Roman" w:cs="Times New Roman"/>
      <w:b/>
      <w:bCs/>
      <w:sz w:val="20"/>
      <w:szCs w:val="20"/>
    </w:rPr>
  </w:style>
  <w:style w:type="character" w:customStyle="1" w:styleId="header-back-to">
    <w:name w:val="header-back-to"/>
    <w:basedOn w:val="DefaultParagraphFont"/>
    <w:rsid w:val="00EB3AFD"/>
  </w:style>
  <w:style w:type="character" w:customStyle="1" w:styleId="helper-hidden-accessible">
    <w:name w:val="helper-hidden-accessible"/>
    <w:basedOn w:val="DefaultParagraphFont"/>
    <w:rsid w:val="00EB3AFD"/>
  </w:style>
  <w:style w:type="paragraph" w:styleId="NormalWeb">
    <w:name w:val="Normal (Web)"/>
    <w:basedOn w:val="Normal"/>
    <w:uiPriority w:val="99"/>
    <w:unhideWhenUsed/>
    <w:rsid w:val="00EB3AF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B3AFD"/>
    <w:rPr>
      <w:b/>
      <w:bCs/>
    </w:rPr>
  </w:style>
  <w:style w:type="character" w:styleId="Hyperlink">
    <w:name w:val="Hyperlink"/>
    <w:basedOn w:val="DefaultParagraphFont"/>
    <w:uiPriority w:val="99"/>
    <w:semiHidden/>
    <w:unhideWhenUsed/>
    <w:rsid w:val="00EB3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037">
      <w:bodyDiv w:val="1"/>
      <w:marLeft w:val="0"/>
      <w:marRight w:val="0"/>
      <w:marTop w:val="0"/>
      <w:marBottom w:val="0"/>
      <w:divBdr>
        <w:top w:val="none" w:sz="0" w:space="0" w:color="auto"/>
        <w:left w:val="none" w:sz="0" w:space="0" w:color="auto"/>
        <w:bottom w:val="none" w:sz="0" w:space="0" w:color="auto"/>
        <w:right w:val="none" w:sz="0" w:space="0" w:color="auto"/>
      </w:divBdr>
    </w:div>
    <w:div w:id="14951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32786" TargetMode="External"/><Relationship Id="rId3" Type="http://schemas.microsoft.com/office/2007/relationships/stylesWithEffects" Target="stylesWithEffects.xml"/><Relationship Id="rId7" Type="http://schemas.openxmlformats.org/officeDocument/2006/relationships/hyperlink" Target="http://vbpl.vn/TW/Pages/vbpq-thuoctinh.aspx?ItemID=278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2730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bpl.vn/TW/Pages/vbpq-thuoctinh.aspx?ItemID=64467" TargetMode="External"/><Relationship Id="rId4" Type="http://schemas.openxmlformats.org/officeDocument/2006/relationships/settings" Target="settings.xml"/><Relationship Id="rId9" Type="http://schemas.openxmlformats.org/officeDocument/2006/relationships/hyperlink" Target="http://vbpl.vn/TW/Pages/vbpq-thuoctinh.aspx?ItemID=37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2021-06-28T15:19:00Z</dcterms:created>
  <dcterms:modified xsi:type="dcterms:W3CDTF">2021-06-28T15:46:00Z</dcterms:modified>
</cp:coreProperties>
</file>