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EB7" w:rsidRPr="00F03660" w:rsidRDefault="00943EB7" w:rsidP="00943EB7">
      <w:pPr>
        <w:shd w:val="clear" w:color="auto" w:fill="FFFFFF"/>
        <w:spacing w:before="150" w:after="150" w:line="300" w:lineRule="atLeast"/>
        <w:outlineLvl w:val="4"/>
        <w:rPr>
          <w:rFonts w:eastAsia="Times New Roman" w:cs="Times New Roman"/>
          <w:b/>
          <w:bCs/>
          <w:color w:val="000000"/>
          <w:szCs w:val="28"/>
        </w:rPr>
      </w:pPr>
      <w:r w:rsidRPr="00F03660">
        <w:rPr>
          <w:rFonts w:eastAsia="Times New Roman" w:cs="Times New Roman"/>
          <w:b/>
          <w:bCs/>
          <w:color w:val="000000"/>
          <w:szCs w:val="28"/>
        </w:rPr>
        <w:t>Khai báo tạm vắng tại Công an cấp xã</w:t>
      </w:r>
    </w:p>
    <w:p w:rsidR="00A82FAA" w:rsidRPr="00F03660" w:rsidRDefault="00A82FAA">
      <w:pPr>
        <w:rPr>
          <w:rFonts w:cs="Times New Roman"/>
          <w:szCs w:val="28"/>
        </w:rPr>
      </w:pPr>
    </w:p>
    <w:tbl>
      <w:tblPr>
        <w:tblpPr w:leftFromText="180" w:rightFromText="180" w:vertAnchor="text"/>
        <w:tblW w:w="9177" w:type="dxa"/>
        <w:shd w:val="clear" w:color="auto" w:fill="FFFFFF"/>
        <w:tblLayout w:type="fixed"/>
        <w:tblCellMar>
          <w:left w:w="0" w:type="dxa"/>
          <w:right w:w="0" w:type="dxa"/>
        </w:tblCellMar>
        <w:tblLook w:val="04A0" w:firstRow="1" w:lastRow="0" w:firstColumn="1" w:lastColumn="0" w:noHBand="0" w:noVBand="1"/>
      </w:tblPr>
      <w:tblGrid>
        <w:gridCol w:w="3055"/>
        <w:gridCol w:w="6122"/>
      </w:tblGrid>
      <w:tr w:rsidR="00943EB7" w:rsidRPr="00F03660" w:rsidTr="00F03660">
        <w:tc>
          <w:tcPr>
            <w:tcW w:w="3055" w:type="dxa"/>
            <w:tcBorders>
              <w:top w:val="single" w:sz="8" w:space="0" w:color="DDDDDD"/>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Cơ quan Công bố/Công khai</w:t>
            </w:r>
          </w:p>
        </w:tc>
        <w:tc>
          <w:tcPr>
            <w:tcW w:w="6122" w:type="dxa"/>
            <w:tcBorders>
              <w:top w:val="single" w:sz="8" w:space="0" w:color="DDDDDD"/>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Công an tỉnh Sóc Trăng</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Mã thủ tục</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B-BCA-153592-TT</w:t>
            </w:r>
            <w:bookmarkStart w:id="0" w:name="_GoBack"/>
            <w:bookmarkEnd w:id="0"/>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Cấp thực hiện</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Cấp Xã</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Lĩnh vực</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Đăng ký, quản lý cư trú</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hideMark/>
          </w:tcPr>
          <w:p w:rsidR="00943EB7" w:rsidRPr="00F03660" w:rsidRDefault="00943EB7" w:rsidP="00943EB7">
            <w:pPr>
              <w:spacing w:after="0" w:line="240" w:lineRule="auto"/>
              <w:rPr>
                <w:rFonts w:eastAsia="Times New Roman" w:cs="Times New Roman"/>
                <w:color w:val="CC0000"/>
                <w:szCs w:val="28"/>
              </w:rPr>
            </w:pPr>
            <w:r w:rsidRPr="00F03660">
              <w:rPr>
                <w:rFonts w:eastAsia="Times New Roman" w:cs="Times New Roman"/>
                <w:b/>
                <w:bCs/>
                <w:color w:val="333333"/>
                <w:szCs w:val="28"/>
              </w:rPr>
              <w:t>Trình tự thực hiện</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textAlignment w:val="baseline"/>
              <w:rPr>
                <w:rFonts w:eastAsia="Times New Roman" w:cs="Times New Roman"/>
                <w:color w:val="CC0000"/>
                <w:szCs w:val="28"/>
              </w:rPr>
            </w:pPr>
            <w:r w:rsidRPr="00F03660">
              <w:rPr>
                <w:rFonts w:eastAsia="Times New Roman" w:cs="Times New Roman"/>
                <w:b/>
                <w:bCs/>
                <w:color w:val="333333"/>
                <w:szCs w:val="28"/>
              </w:rPr>
              <w:t>Bước 1:</w:t>
            </w:r>
            <w:r w:rsidRPr="00F03660">
              <w:rPr>
                <w:rFonts w:eastAsia="Times New Roman" w:cs="Times New Roman"/>
                <w:color w:val="333333"/>
                <w:szCs w:val="28"/>
              </w:rPr>
              <w:t> Những người sau đây khi đi khỏi nơi cư trú phải đến trụ sở Công an xã, phường, thị trấn khai báo tạm vắng:</w:t>
            </w:r>
          </w:p>
          <w:p w:rsidR="00943EB7" w:rsidRPr="00F03660" w:rsidRDefault="00943EB7" w:rsidP="00943EB7">
            <w:pPr>
              <w:spacing w:after="0" w:line="240" w:lineRule="auto"/>
              <w:jc w:val="both"/>
              <w:textAlignment w:val="baseline"/>
              <w:rPr>
                <w:rFonts w:eastAsia="Times New Roman" w:cs="Times New Roman"/>
                <w:color w:val="CC0000"/>
                <w:szCs w:val="28"/>
              </w:rPr>
            </w:pPr>
            <w:r w:rsidRPr="00F03660">
              <w:rPr>
                <w:rFonts w:eastAsia="Times New Roman" w:cs="Times New Roman"/>
                <w:color w:val="333333"/>
                <w:szCs w:val="28"/>
              </w:rPr>
              <w:t>+ Bị can, bị cáo đang tại ngoại; người bị kết án phạt tù nhưng chưa có quyết định thi hành án hoặc được hoãn, tạm đình chỉ chấp hành hình phạt tù; người bị kết án phạt tù được hưởng án treo; người bị phạt cải tạo không giam giữ; người đang bị quản chế; người đang chấp hành biện pháp giáo dục tại xã, phường, thị trấn; người bị áp dụng biện pháp đưa vào cơ sở giáo dục, cơ sở chữa bệnh, trường giáo dưỡng nhưng đang được hoãn chấp hành hoặc tạm đình chỉ thi hành khi đi khỏi nơi cư trú từ 01 ngày trở lên.</w:t>
            </w:r>
          </w:p>
          <w:p w:rsidR="00943EB7" w:rsidRPr="00F03660" w:rsidRDefault="00943EB7" w:rsidP="00943EB7">
            <w:pPr>
              <w:spacing w:after="0" w:line="240" w:lineRule="auto"/>
              <w:jc w:val="both"/>
              <w:textAlignment w:val="baseline"/>
              <w:rPr>
                <w:rFonts w:eastAsia="Times New Roman" w:cs="Times New Roman"/>
                <w:color w:val="CC0000"/>
                <w:szCs w:val="28"/>
              </w:rPr>
            </w:pPr>
            <w:r w:rsidRPr="00F03660">
              <w:rPr>
                <w:rFonts w:eastAsia="Times New Roman" w:cs="Times New Roman"/>
                <w:color w:val="333333"/>
                <w:szCs w:val="28"/>
              </w:rPr>
              <w:t>+ Người trong độ tuổi nghĩa vụ quân sự, dự bị động viên đi khỏi huyện, quận, thị xã, thành phố thuộc tỉnh nơi mình cư trú từ 3 tháng trở lên.</w:t>
            </w:r>
          </w:p>
          <w:p w:rsidR="00943EB7" w:rsidRPr="00F03660" w:rsidRDefault="00943EB7" w:rsidP="00943EB7">
            <w:pPr>
              <w:spacing w:after="0" w:line="240" w:lineRule="auto"/>
              <w:jc w:val="both"/>
              <w:textAlignment w:val="baseline"/>
              <w:rPr>
                <w:rFonts w:eastAsia="Times New Roman" w:cs="Times New Roman"/>
                <w:color w:val="CC0000"/>
                <w:szCs w:val="28"/>
              </w:rPr>
            </w:pPr>
            <w:r w:rsidRPr="00F03660">
              <w:rPr>
                <w:rFonts w:eastAsia="Times New Roman" w:cs="Times New Roman"/>
                <w:b/>
                <w:bCs/>
                <w:color w:val="333333"/>
                <w:szCs w:val="28"/>
              </w:rPr>
              <w:t>Bước 2:</w:t>
            </w:r>
            <w:r w:rsidRPr="00F03660">
              <w:rPr>
                <w:rFonts w:eastAsia="Times New Roman" w:cs="Times New Roman"/>
                <w:color w:val="333333"/>
                <w:szCs w:val="28"/>
              </w:rPr>
              <w:t> Cán bộ tiếp nhận kiểm tra, hướng dẫn nội dung khai báo, ký xác nhận vào phần phiếu cấp cho người khai báo tạm vắng.  </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Cách thức thực hiện</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textAlignment w:val="baseline"/>
              <w:rPr>
                <w:rFonts w:eastAsia="Times New Roman" w:cs="Times New Roman"/>
                <w:color w:val="CC0000"/>
                <w:szCs w:val="28"/>
              </w:rPr>
            </w:pPr>
            <w:r w:rsidRPr="00F03660">
              <w:rPr>
                <w:rFonts w:eastAsia="Times New Roman" w:cs="Times New Roman"/>
                <w:color w:val="CC0000"/>
                <w:szCs w:val="28"/>
              </w:rPr>
              <w:t> </w:t>
            </w:r>
            <w:r w:rsidRPr="00F03660">
              <w:rPr>
                <w:rFonts w:eastAsia="Times New Roman" w:cs="Times New Roman"/>
                <w:color w:val="333333"/>
                <w:szCs w:val="28"/>
              </w:rPr>
              <w:t>Trực tiếp tại trụ sở Công an cấp xã.</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hideMark/>
          </w:tcPr>
          <w:p w:rsidR="00943EB7" w:rsidRPr="00F03660" w:rsidRDefault="00943EB7" w:rsidP="00943EB7">
            <w:pPr>
              <w:spacing w:after="0" w:line="240" w:lineRule="auto"/>
              <w:rPr>
                <w:rFonts w:eastAsia="Times New Roman" w:cs="Times New Roman"/>
                <w:color w:val="CC0000"/>
                <w:szCs w:val="28"/>
              </w:rPr>
            </w:pPr>
            <w:r w:rsidRPr="00F03660">
              <w:rPr>
                <w:rFonts w:eastAsia="Times New Roman" w:cs="Times New Roman"/>
                <w:b/>
                <w:bCs/>
                <w:color w:val="333333"/>
                <w:szCs w:val="28"/>
              </w:rPr>
              <w:t>Thành phần hồ sơ</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textAlignment w:val="baseline"/>
              <w:rPr>
                <w:rFonts w:eastAsia="Times New Roman" w:cs="Times New Roman"/>
                <w:color w:val="CC0000"/>
                <w:szCs w:val="28"/>
              </w:rPr>
            </w:pPr>
            <w:r w:rsidRPr="00F03660">
              <w:rPr>
                <w:rFonts w:eastAsia="Times New Roman" w:cs="Times New Roman"/>
                <w:color w:val="333333"/>
                <w:szCs w:val="28"/>
              </w:rPr>
              <w:t>a) Phiếu khai báo tạm vắng (HK05).</w:t>
            </w:r>
          </w:p>
          <w:p w:rsidR="00943EB7" w:rsidRPr="00F03660" w:rsidRDefault="00943EB7" w:rsidP="00943EB7">
            <w:pPr>
              <w:spacing w:after="0" w:line="240" w:lineRule="auto"/>
              <w:jc w:val="both"/>
              <w:textAlignment w:val="baseline"/>
              <w:rPr>
                <w:rFonts w:eastAsia="Times New Roman" w:cs="Times New Roman"/>
                <w:color w:val="CC0000"/>
                <w:szCs w:val="28"/>
              </w:rPr>
            </w:pPr>
            <w:r w:rsidRPr="00F03660">
              <w:rPr>
                <w:rFonts w:eastAsia="Times New Roman" w:cs="Times New Roman"/>
                <w:color w:val="333333"/>
                <w:szCs w:val="28"/>
              </w:rPr>
              <w:t>b) Xuất trình Chứng minh nhân dân.  </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Số bộ hồ sơ</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01 (một) bộ.</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hideMark/>
          </w:tcPr>
          <w:p w:rsidR="00943EB7" w:rsidRPr="00F03660" w:rsidRDefault="00943EB7" w:rsidP="00943EB7">
            <w:pPr>
              <w:spacing w:after="0" w:line="240" w:lineRule="auto"/>
              <w:rPr>
                <w:rFonts w:eastAsia="Times New Roman" w:cs="Times New Roman"/>
                <w:color w:val="CC0000"/>
                <w:szCs w:val="28"/>
              </w:rPr>
            </w:pPr>
            <w:r w:rsidRPr="00F03660">
              <w:rPr>
                <w:rFonts w:eastAsia="Times New Roman" w:cs="Times New Roman"/>
                <w:b/>
                <w:bCs/>
                <w:color w:val="333333"/>
                <w:szCs w:val="28"/>
              </w:rPr>
              <w:t>Mẫu đơn, mẫu tờ khai</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tbl>
            <w:tblPr>
              <w:tblW w:w="6600" w:type="dxa"/>
              <w:tblLayout w:type="fixed"/>
              <w:tblCellMar>
                <w:left w:w="0" w:type="dxa"/>
                <w:right w:w="0" w:type="dxa"/>
              </w:tblCellMar>
              <w:tblLook w:val="04A0" w:firstRow="1" w:lastRow="0" w:firstColumn="1" w:lastColumn="0" w:noHBand="0" w:noVBand="1"/>
            </w:tblPr>
            <w:tblGrid>
              <w:gridCol w:w="3300"/>
              <w:gridCol w:w="3300"/>
            </w:tblGrid>
            <w:tr w:rsidR="00943EB7" w:rsidRPr="00F03660" w:rsidTr="00F03660">
              <w:trPr>
                <w:trHeight w:val="285"/>
              </w:trPr>
              <w:tc>
                <w:tcPr>
                  <w:tcW w:w="3300" w:type="dxa"/>
                  <w:tcBorders>
                    <w:top w:val="single" w:sz="8" w:space="0" w:color="DDDDDD"/>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F03660">
                  <w:pPr>
                    <w:framePr w:hSpace="180" w:wrap="around" w:vAnchor="text" w:hAnchor="text"/>
                    <w:spacing w:after="0" w:line="240" w:lineRule="auto"/>
                    <w:jc w:val="both"/>
                    <w:rPr>
                      <w:rFonts w:eastAsia="Times New Roman" w:cs="Times New Roman"/>
                      <w:szCs w:val="28"/>
                    </w:rPr>
                  </w:pPr>
                  <w:r w:rsidRPr="00F03660">
                    <w:rPr>
                      <w:rFonts w:eastAsia="Times New Roman" w:cs="Times New Roman"/>
                      <w:b/>
                      <w:bCs/>
                      <w:color w:val="333333"/>
                      <w:szCs w:val="28"/>
                    </w:rPr>
                    <w:t>Tên mẫu đơn, mẫu tờ khai</w:t>
                  </w:r>
                </w:p>
              </w:tc>
              <w:tc>
                <w:tcPr>
                  <w:tcW w:w="3300" w:type="dxa"/>
                  <w:tcBorders>
                    <w:top w:val="single" w:sz="8" w:space="0" w:color="DDDDDD"/>
                    <w:left w:val="nil"/>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F03660">
                  <w:pPr>
                    <w:framePr w:hSpace="180" w:wrap="around" w:vAnchor="text" w:hAnchor="text"/>
                    <w:spacing w:after="0" w:line="240" w:lineRule="auto"/>
                    <w:jc w:val="both"/>
                    <w:rPr>
                      <w:rFonts w:eastAsia="Times New Roman" w:cs="Times New Roman"/>
                      <w:szCs w:val="28"/>
                    </w:rPr>
                  </w:pPr>
                  <w:r w:rsidRPr="00F03660">
                    <w:rPr>
                      <w:rFonts w:eastAsia="Times New Roman" w:cs="Times New Roman"/>
                      <w:b/>
                      <w:bCs/>
                      <w:color w:val="333333"/>
                      <w:szCs w:val="28"/>
                    </w:rPr>
                    <w:t>Văn bản quy định</w:t>
                  </w:r>
                </w:p>
              </w:tc>
            </w:tr>
            <w:tr w:rsidR="00943EB7" w:rsidRPr="00F03660" w:rsidTr="00F03660">
              <w:trPr>
                <w:trHeight w:val="615"/>
              </w:trPr>
              <w:tc>
                <w:tcPr>
                  <w:tcW w:w="3300" w:type="dxa"/>
                  <w:tcBorders>
                    <w:top w:val="nil"/>
                    <w:left w:val="single" w:sz="8" w:space="0" w:color="DDDDDD"/>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F03660" w:rsidP="00F03660">
                  <w:pPr>
                    <w:framePr w:hSpace="180" w:wrap="around" w:vAnchor="text" w:hAnchor="text"/>
                    <w:spacing w:after="0" w:line="240" w:lineRule="atLeast"/>
                    <w:jc w:val="both"/>
                    <w:rPr>
                      <w:rFonts w:eastAsia="Times New Roman" w:cs="Times New Roman"/>
                      <w:szCs w:val="28"/>
                    </w:rPr>
                  </w:pPr>
                  <w:hyperlink r:id="rId6" w:history="1">
                    <w:r w:rsidR="00943EB7" w:rsidRPr="00F03660">
                      <w:rPr>
                        <w:rFonts w:eastAsia="Times New Roman" w:cs="Times New Roman"/>
                        <w:color w:val="19467F"/>
                        <w:szCs w:val="28"/>
                        <w:bdr w:val="none" w:sz="0" w:space="0" w:color="auto" w:frame="1"/>
                      </w:rPr>
                      <w:t>94-Mẫu HK05-Phiếu khai báo tạm vắng.doc</w:t>
                    </w:r>
                  </w:hyperlink>
                </w:p>
              </w:tc>
              <w:tc>
                <w:tcPr>
                  <w:tcW w:w="3300"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F03660">
                  <w:pPr>
                    <w:framePr w:hSpace="180" w:wrap="around" w:vAnchor="text" w:hAnchor="text"/>
                    <w:spacing w:after="0" w:line="240" w:lineRule="auto"/>
                    <w:rPr>
                      <w:rFonts w:eastAsia="Times New Roman" w:cs="Times New Roman"/>
                      <w:szCs w:val="28"/>
                    </w:rPr>
                  </w:pPr>
                  <w:r w:rsidRPr="00F03660">
                    <w:rPr>
                      <w:rFonts w:eastAsia="Times New Roman" w:cs="Times New Roman"/>
                      <w:szCs w:val="28"/>
                    </w:rPr>
                    <w:t> </w:t>
                  </w:r>
                </w:p>
              </w:tc>
            </w:tr>
          </w:tbl>
          <w:p w:rsidR="00943EB7" w:rsidRPr="00F03660" w:rsidRDefault="00943EB7" w:rsidP="00943EB7">
            <w:pPr>
              <w:spacing w:after="0" w:line="240" w:lineRule="auto"/>
              <w:rPr>
                <w:rFonts w:eastAsia="Times New Roman" w:cs="Times New Roman"/>
                <w:color w:val="CC0000"/>
                <w:szCs w:val="28"/>
              </w:rPr>
            </w:pP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Phí</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Không có thông tin</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lastRenderedPageBreak/>
              <w:t>Lệ phí</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Không có thông tin</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Mức giá</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Không có thông tin</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Thời hạn giải quyết</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textAlignment w:val="baseline"/>
              <w:rPr>
                <w:rFonts w:eastAsia="Times New Roman" w:cs="Times New Roman"/>
                <w:color w:val="CC0000"/>
                <w:szCs w:val="28"/>
              </w:rPr>
            </w:pPr>
            <w:r w:rsidRPr="00F03660">
              <w:rPr>
                <w:rFonts w:eastAsia="Times New Roman" w:cs="Times New Roman"/>
                <w:color w:val="333333"/>
                <w:szCs w:val="28"/>
              </w:rPr>
              <w:t>01 ngày làm việc (trường hợp đặc biệt thì được phép kéo dài thời gian giải quyết, nhưng tối đa không quá 02 ngày làm việc). </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Đối tượng thực hiện</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 Cá nhân</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Cơ quan thực hiện</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Công an cấp xã</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Cơ quan có thẩm quyền quyết định</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Công an cấp xã</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Địa chỉ tiếp nhận hồ sơ</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textAlignment w:val="baseline"/>
              <w:rPr>
                <w:rFonts w:eastAsia="Times New Roman" w:cs="Times New Roman"/>
                <w:color w:val="CC0000"/>
                <w:szCs w:val="28"/>
              </w:rPr>
            </w:pPr>
            <w:r w:rsidRPr="00F03660">
              <w:rPr>
                <w:rFonts w:eastAsia="Times New Roman" w:cs="Times New Roman"/>
                <w:color w:val="333333"/>
                <w:szCs w:val="28"/>
              </w:rPr>
              <w:t>Công an cấp xã. </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Cơ quan được ủy quyền</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Không có thông tin</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Cơ quan phối hợp</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Không có thông tin</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Kết quả thực hiện</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Phiếu khai báo tạm vắng (HK05).</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hideMark/>
          </w:tcPr>
          <w:p w:rsidR="00943EB7" w:rsidRPr="00F03660" w:rsidRDefault="00943EB7" w:rsidP="00943EB7">
            <w:pPr>
              <w:spacing w:after="0" w:line="240" w:lineRule="auto"/>
              <w:rPr>
                <w:rFonts w:eastAsia="Times New Roman" w:cs="Times New Roman"/>
                <w:color w:val="CC0000"/>
                <w:szCs w:val="28"/>
              </w:rPr>
            </w:pPr>
            <w:r w:rsidRPr="00F03660">
              <w:rPr>
                <w:rFonts w:eastAsia="Times New Roman" w:cs="Times New Roman"/>
                <w:b/>
                <w:bCs/>
                <w:color w:val="333333"/>
                <w:szCs w:val="28"/>
              </w:rPr>
              <w:t>Căn cứ pháp lý của TTHC</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F03660" w:rsidP="00943EB7">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7" w:tgtFrame="_blank" w:tooltip="Luật 81/2006/QH11" w:history="1">
              <w:r w:rsidR="00943EB7" w:rsidRPr="00F03660">
                <w:rPr>
                  <w:rFonts w:eastAsia="Times New Roman" w:cs="Times New Roman"/>
                  <w:color w:val="19467F"/>
                  <w:szCs w:val="28"/>
                  <w:bdr w:val="none" w:sz="0" w:space="0" w:color="auto" w:frame="1"/>
                </w:rPr>
                <w:t>Luật 81/2006/QH11</w:t>
              </w:r>
            </w:hyperlink>
          </w:p>
          <w:p w:rsidR="00943EB7" w:rsidRPr="00F03660" w:rsidRDefault="00F03660" w:rsidP="00943EB7">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8" w:tgtFrame="_blank" w:tooltip="Luật 36/2013/QH13" w:history="1">
              <w:r w:rsidR="00943EB7" w:rsidRPr="00F03660">
                <w:rPr>
                  <w:rFonts w:eastAsia="Times New Roman" w:cs="Times New Roman"/>
                  <w:color w:val="19467F"/>
                  <w:szCs w:val="28"/>
                  <w:bdr w:val="none" w:sz="0" w:space="0" w:color="auto" w:frame="1"/>
                </w:rPr>
                <w:t>Luật 36/2013/QH13</w:t>
              </w:r>
            </w:hyperlink>
          </w:p>
          <w:p w:rsidR="00943EB7" w:rsidRPr="00F03660" w:rsidRDefault="00F03660" w:rsidP="00943EB7">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9" w:tgtFrame="_blank" w:tooltip="Nghị định 31/2014/NĐ-CP" w:history="1">
              <w:r w:rsidR="00943EB7" w:rsidRPr="00F03660">
                <w:rPr>
                  <w:rFonts w:eastAsia="Times New Roman" w:cs="Times New Roman"/>
                  <w:color w:val="19467F"/>
                  <w:szCs w:val="28"/>
                  <w:bdr w:val="none" w:sz="0" w:space="0" w:color="auto" w:frame="1"/>
                </w:rPr>
                <w:t>Nghị định 31/2014/NĐ-CP</w:t>
              </w:r>
            </w:hyperlink>
          </w:p>
          <w:p w:rsidR="00943EB7" w:rsidRPr="00F03660" w:rsidRDefault="00F03660" w:rsidP="00943EB7">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10" w:tgtFrame="_blank" w:tooltip="Thông tư 36/2014/TT-BCA" w:history="1">
              <w:r w:rsidR="00943EB7" w:rsidRPr="00F03660">
                <w:rPr>
                  <w:rFonts w:eastAsia="Times New Roman" w:cs="Times New Roman"/>
                  <w:color w:val="19467F"/>
                  <w:szCs w:val="28"/>
                  <w:bdr w:val="none" w:sz="0" w:space="0" w:color="auto" w:frame="1"/>
                </w:rPr>
                <w:t>Thông tư 36/2014/TT-BCA</w:t>
              </w:r>
            </w:hyperlink>
          </w:p>
          <w:p w:rsidR="00943EB7" w:rsidRPr="00F03660" w:rsidRDefault="00F03660" w:rsidP="00943EB7">
            <w:pPr>
              <w:numPr>
                <w:ilvl w:val="0"/>
                <w:numId w:val="1"/>
              </w:numPr>
              <w:spacing w:before="100" w:beforeAutospacing="1" w:after="0" w:line="405" w:lineRule="atLeast"/>
              <w:ind w:left="375"/>
              <w:jc w:val="both"/>
              <w:textAlignment w:val="baseline"/>
              <w:rPr>
                <w:rFonts w:eastAsia="Times New Roman" w:cs="Times New Roman"/>
                <w:color w:val="CC0000"/>
                <w:szCs w:val="28"/>
              </w:rPr>
            </w:pPr>
            <w:hyperlink r:id="rId11" w:tgtFrame="_blank" w:tooltip="Thông tư 35/2014/TT-BCA" w:history="1">
              <w:r w:rsidR="00943EB7" w:rsidRPr="00F03660">
                <w:rPr>
                  <w:rFonts w:eastAsia="Times New Roman" w:cs="Times New Roman"/>
                  <w:color w:val="19467F"/>
                  <w:szCs w:val="28"/>
                  <w:bdr w:val="none" w:sz="0" w:space="0" w:color="auto" w:frame="1"/>
                </w:rPr>
                <w:t>Thông tư 35/2014/TT-BCA</w:t>
              </w:r>
            </w:hyperlink>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Yêu cầu hoặc điều kiện để thực hiện TTHC</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textAlignment w:val="baseline"/>
              <w:rPr>
                <w:rFonts w:eastAsia="Times New Roman" w:cs="Times New Roman"/>
                <w:color w:val="CC0000"/>
                <w:szCs w:val="28"/>
              </w:rPr>
            </w:pPr>
            <w:r w:rsidRPr="00F03660">
              <w:rPr>
                <w:rFonts w:eastAsia="Times New Roman" w:cs="Times New Roman"/>
                <w:color w:val="333333"/>
                <w:szCs w:val="28"/>
              </w:rPr>
              <w:t>Không </w:t>
            </w:r>
          </w:p>
          <w:p w:rsidR="00943EB7" w:rsidRPr="00F03660" w:rsidRDefault="00943EB7" w:rsidP="00943EB7">
            <w:pPr>
              <w:spacing w:after="0" w:line="240" w:lineRule="auto"/>
              <w:jc w:val="both"/>
              <w:textAlignment w:val="baseline"/>
              <w:rPr>
                <w:rFonts w:eastAsia="Times New Roman" w:cs="Times New Roman"/>
                <w:color w:val="CC0000"/>
                <w:szCs w:val="28"/>
              </w:rPr>
            </w:pPr>
            <w:r w:rsidRPr="00F03660">
              <w:rPr>
                <w:rFonts w:eastAsia="Times New Roman" w:cs="Times New Roman"/>
                <w:color w:val="CC0000"/>
                <w:szCs w:val="28"/>
              </w:rPr>
              <w:t> </w:t>
            </w:r>
          </w:p>
        </w:tc>
      </w:tr>
      <w:tr w:rsidR="00943EB7" w:rsidRPr="00F03660" w:rsidTr="00F03660">
        <w:tc>
          <w:tcPr>
            <w:tcW w:w="3055" w:type="dxa"/>
            <w:tcBorders>
              <w:top w:val="nil"/>
              <w:left w:val="single" w:sz="8" w:space="0" w:color="DDDDDD"/>
              <w:bottom w:val="single" w:sz="8" w:space="0" w:color="DDDDDD"/>
              <w:right w:val="single" w:sz="8" w:space="0" w:color="DDDDDD"/>
            </w:tcBorders>
            <w:shd w:val="clear" w:color="auto" w:fill="F5F5F5"/>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b/>
                <w:bCs/>
                <w:color w:val="333333"/>
                <w:szCs w:val="28"/>
              </w:rPr>
              <w:t>Đánh giá tác động TTHC</w:t>
            </w:r>
          </w:p>
        </w:tc>
        <w:tc>
          <w:tcPr>
            <w:tcW w:w="6122" w:type="dxa"/>
            <w:tcBorders>
              <w:top w:val="nil"/>
              <w:left w:val="nil"/>
              <w:bottom w:val="single" w:sz="8" w:space="0" w:color="DDDDDD"/>
              <w:right w:val="single" w:sz="8" w:space="0" w:color="DDDDDD"/>
            </w:tcBorders>
            <w:shd w:val="clear" w:color="auto" w:fill="FFFFFF"/>
            <w:tcMar>
              <w:top w:w="105" w:type="dxa"/>
              <w:left w:w="105" w:type="dxa"/>
              <w:bottom w:w="105" w:type="dxa"/>
              <w:right w:w="105" w:type="dxa"/>
            </w:tcMar>
            <w:vAlign w:val="bottom"/>
            <w:hideMark/>
          </w:tcPr>
          <w:p w:rsidR="00943EB7" w:rsidRPr="00F03660" w:rsidRDefault="00943EB7" w:rsidP="00943EB7">
            <w:pPr>
              <w:spacing w:after="0" w:line="240" w:lineRule="auto"/>
              <w:jc w:val="both"/>
              <w:rPr>
                <w:rFonts w:eastAsia="Times New Roman" w:cs="Times New Roman"/>
                <w:color w:val="CC0000"/>
                <w:szCs w:val="28"/>
              </w:rPr>
            </w:pPr>
            <w:r w:rsidRPr="00F03660">
              <w:rPr>
                <w:rFonts w:eastAsia="Times New Roman" w:cs="Times New Roman"/>
                <w:color w:val="333333"/>
                <w:szCs w:val="28"/>
              </w:rPr>
              <w:t>Không có thông tin</w:t>
            </w:r>
          </w:p>
        </w:tc>
      </w:tr>
    </w:tbl>
    <w:p w:rsidR="00943EB7" w:rsidRPr="00F03660" w:rsidRDefault="00943EB7">
      <w:pPr>
        <w:rPr>
          <w:rFonts w:cs="Times New Roman"/>
          <w:szCs w:val="28"/>
        </w:rPr>
      </w:pPr>
    </w:p>
    <w:sectPr w:rsidR="00943EB7" w:rsidRPr="00F03660" w:rsidSect="00630348">
      <w:pgSz w:w="11907" w:h="16840" w:code="9"/>
      <w:pgMar w:top="1134" w:right="102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650E6"/>
    <w:multiLevelType w:val="multilevel"/>
    <w:tmpl w:val="9298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B7"/>
    <w:rsid w:val="00630348"/>
    <w:rsid w:val="00943EB7"/>
    <w:rsid w:val="00A82FAA"/>
    <w:rsid w:val="00F0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943EB7"/>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43EB7"/>
    <w:rPr>
      <w:rFonts w:eastAsia="Times New Roman" w:cs="Times New Roman"/>
      <w:b/>
      <w:bCs/>
      <w:sz w:val="20"/>
      <w:szCs w:val="20"/>
    </w:rPr>
  </w:style>
  <w:style w:type="paragraph" w:styleId="NormalWeb">
    <w:name w:val="Normal (Web)"/>
    <w:basedOn w:val="Normal"/>
    <w:uiPriority w:val="99"/>
    <w:unhideWhenUsed/>
    <w:rsid w:val="00943EB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43EB7"/>
    <w:rPr>
      <w:b/>
      <w:bCs/>
    </w:rPr>
  </w:style>
  <w:style w:type="character" w:styleId="Hyperlink">
    <w:name w:val="Hyperlink"/>
    <w:basedOn w:val="DefaultParagraphFont"/>
    <w:uiPriority w:val="99"/>
    <w:semiHidden/>
    <w:unhideWhenUsed/>
    <w:rsid w:val="00943E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943EB7"/>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43EB7"/>
    <w:rPr>
      <w:rFonts w:eastAsia="Times New Roman" w:cs="Times New Roman"/>
      <w:b/>
      <w:bCs/>
      <w:sz w:val="20"/>
      <w:szCs w:val="20"/>
    </w:rPr>
  </w:style>
  <w:style w:type="paragraph" w:styleId="NormalWeb">
    <w:name w:val="Normal (Web)"/>
    <w:basedOn w:val="Normal"/>
    <w:uiPriority w:val="99"/>
    <w:unhideWhenUsed/>
    <w:rsid w:val="00943EB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43EB7"/>
    <w:rPr>
      <w:b/>
      <w:bCs/>
    </w:rPr>
  </w:style>
  <w:style w:type="character" w:styleId="Hyperlink">
    <w:name w:val="Hyperlink"/>
    <w:basedOn w:val="DefaultParagraphFont"/>
    <w:uiPriority w:val="99"/>
    <w:semiHidden/>
    <w:unhideWhenUsed/>
    <w:rsid w:val="00943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7148">
      <w:bodyDiv w:val="1"/>
      <w:marLeft w:val="0"/>
      <w:marRight w:val="0"/>
      <w:marTop w:val="0"/>
      <w:marBottom w:val="0"/>
      <w:divBdr>
        <w:top w:val="none" w:sz="0" w:space="0" w:color="auto"/>
        <w:left w:val="none" w:sz="0" w:space="0" w:color="auto"/>
        <w:bottom w:val="none" w:sz="0" w:space="0" w:color="auto"/>
        <w:right w:val="none" w:sz="0" w:space="0" w:color="auto"/>
      </w:divBdr>
    </w:div>
    <w:div w:id="118987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pl.vn/TW/Pages/vbpq-thuoctinh.aspx?ItemID=3251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vbpl.vn/TW/Pages/vbpq-thuoctinh.aspx?ItemID=148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dl.thutuchanhchinh.vn/TW/Lists/MauDonToKhai/Attachments/198073/94-M%E1%BA%ABu%20HK05-Phi%E1%BA%BFu%20khai%20b%C3%A1o%20t%E1%BA%A1m%20v%E1%BA%AFng.doc" TargetMode="External"/><Relationship Id="rId11" Type="http://schemas.openxmlformats.org/officeDocument/2006/relationships/hyperlink" Target="http://vbpl.vn/TW/Pages/vbpq-thuoctinh.aspx?ItemID=37649" TargetMode="External"/><Relationship Id="rId5" Type="http://schemas.openxmlformats.org/officeDocument/2006/relationships/webSettings" Target="webSettings.xml"/><Relationship Id="rId10" Type="http://schemas.openxmlformats.org/officeDocument/2006/relationships/hyperlink" Target="http://vbpl.vn/TW/Pages/vbpq-thuoctinh.aspx?ItemID=37650" TargetMode="External"/><Relationship Id="rId4" Type="http://schemas.openxmlformats.org/officeDocument/2006/relationships/settings" Target="settings.xml"/><Relationship Id="rId9" Type="http://schemas.openxmlformats.org/officeDocument/2006/relationships/hyperlink" Target="http://vbpl.vn/TW/Pages/vbpq-thuoctinh.aspx?ItemID=34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2021-06-28T15:10:00Z</dcterms:created>
  <dcterms:modified xsi:type="dcterms:W3CDTF">2021-06-28T16:06:00Z</dcterms:modified>
</cp:coreProperties>
</file>